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84</w:t>
      </w:r>
    </w:p>
    <w:p>
      <w:r>
        <w:t>Bundesgericht (BGE), 2010-10-07, DE</w:t>
      </w:r>
    </w:p>
    <w:p>
      <w:r>
        <w:rPr>
          <w:b/>
        </w:rPr>
        <w:t xml:space="preserve">Quelle: </w:t>
      </w:r>
      <w:r>
        <w:t>https://mcp.opencaselaw.ch/entscheid/bge_137 IV 84</w:t>
      </w:r>
    </w:p>
    <w:p>
      <w:r>
        <w:t>FR: ATF 137 IV 84</w:t>
      </w:r>
    </w:p>
    <w:p>
      <w:r>
        <w:t>IT: DTF 137 IV 84</w:t>
      </w:r>
    </w:p>
    <w:p>
      <w:pPr>
        <w:pStyle w:val="Heading2"/>
      </w:pPr>
      <w:r>
        <w:t>Regeste</w:t>
      </w:r>
    </w:p>
    <w:p>
      <w:r>
        <w:t>Regeste Haftgrund der Wiederholungsgefahr; Art. 221 Abs. 1 lit. c StPO. Art. 221 Abs. 1 lit. c StPO in der deutschen und der italienischen Fassung ist dahingehend auszulegen, dass "Verbrechen oder schwere Vergehen" drohen müssen (E. 3.2).</w:t>
      </w:r>
    </w:p>
    <w:p>
      <w:pPr>
        <w:pStyle w:val="Heading2"/>
      </w:pPr>
      <w:r>
        <w:t>Erwägungen</w:t>
      </w:r>
    </w:p>
    <w:p>
      <w:r>
        <w:rPr>
          <w:b/>
        </w:rPr>
        <w:t>E. 3.2</w:t>
      </w:r>
    </w:p>
    <w:p>
      <w:r>
        <w:t>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Der Haftgrund der Wiederholungsgefahr ist restriktiv zu handhaben ( BGE 135 I 71 E. 2.3, 2.6 und 2.11 S. 73 ff.). 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BGE 137 IV 84 S. 86 "schwere Verbrechen oder Vergehen". Verbrechen sind Taten, die mit Freiheitsstrafe von mehr als drei Jahren bedroht sind ( Art. 10 Abs. 2 StGB ); Vergehen sind Taten, die mit Freiheitsstrafe bis zu drei Jahren oder mit Geldstrafe bedroht sind ( Art. 10 Abs. 3 StGB ). Die deutschsprachige sowie die italienische Fassung von Art. 221 Abs. 1 lit. c StPO sind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(vgl. zum Ganzen MARC FORSTER, in: Basler Kommentar, Schweizerische Strafprozessordnung, 2011, N. 11 ff. zu Art. 221 StPO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N. 14 zu Art. 221 StPO ). Das Gesetz verlangt als weitere Voraussetzung der Präventivhaft wegen Wiederholungsgefahr, dass die beschuldigte Person bereits früher gleichartige Vortaten verübt hat (vgl. insoweit BGE 137 IV 13 ). Auch bei den Vortaten muss es sich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 a.a.O., N. 15 zu Art. 221 StPO ; NIKLAUS SCHMID, Schweizerische Strafprozessordnung, Praxiskommentar, 2009, N. 12 zu Art. 221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